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Corps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Corps"/>
        <w:bidi w:val="0"/>
        <w:spacing w:line="360" w:lineRule="auto"/>
        <w:ind w:left="0" w:right="0" w:firstLine="0"/>
        <w:jc w:val="center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cs="Calibri" w:hAnsi="Arial" w:eastAsia="Calibri"/>
          <w:sz w:val="24"/>
          <w:szCs w:val="24"/>
          <w:u w:color="000000"/>
          <w:rtl w:val="0"/>
          <w:lang w:val="en-US"/>
        </w:rPr>
        <w:t xml:space="preserve">Hockey 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 xml:space="preserve">sur  gazon 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es-ES_tradnl"/>
        </w:rPr>
        <w:t>Canada</w:t>
      </w:r>
    </w:p>
    <w:p>
      <w:pPr>
        <w:pStyle w:val="Corps"/>
        <w:bidi w:val="0"/>
        <w:spacing w:line="36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</w:rPr>
      </w:pPr>
      <w:r>
        <w:rPr>
          <w:rFonts w:ascii="Arial" w:cs="Calibri" w:hAnsi="Arial" w:eastAsia="Calibri"/>
          <w:sz w:val="24"/>
          <w:szCs w:val="24"/>
          <w:u w:color="000000"/>
          <w:rtl w:val="0"/>
        </w:rPr>
        <w:t>Poli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tique anti-n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potisme</w:t>
      </w:r>
    </w:p>
    <w:p>
      <w:pPr>
        <w:pStyle w:val="Corps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Corps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Corps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val="single" w:color="000000"/>
          <w:rtl w:val="0"/>
        </w:rPr>
      </w:pPr>
      <w:r>
        <w:rPr>
          <w:rFonts w:ascii="Arial" w:cs="Calibri" w:hAnsi="Arial" w:eastAsia="Calibri"/>
          <w:b w:val="1"/>
          <w:bCs w:val="1"/>
          <w:sz w:val="24"/>
          <w:szCs w:val="24"/>
          <w:u w:val="single" w:color="000000"/>
          <w:rtl w:val="0"/>
          <w:lang w:val="fr-FR"/>
        </w:rPr>
        <w:t>Objectif</w:t>
      </w:r>
      <w:r>
        <w:rPr>
          <w:rFonts w:ascii="Arial" w:cs="Calibri" w:hAnsi="Arial" w:eastAsia="Calibri"/>
          <w:b w:val="1"/>
          <w:bCs w:val="1"/>
          <w:sz w:val="24"/>
          <w:szCs w:val="24"/>
          <w:u w:val="single" w:color="000000"/>
          <w:rtl w:val="0"/>
        </w:rPr>
        <w:t>:</w:t>
      </w:r>
    </w:p>
    <w:p>
      <w:pPr>
        <w:pStyle w:val="Corps"/>
        <w:bidi w:val="0"/>
        <w:spacing w:line="360" w:lineRule="auto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cs="Calibri" w:hAnsi="Arial" w:eastAsia="Calibri"/>
          <w:sz w:val="24"/>
          <w:szCs w:val="24"/>
          <w:u w:color="000000"/>
          <w:rtl w:val="0"/>
          <w:lang w:val="en-US"/>
        </w:rPr>
        <w:t>Hockey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 xml:space="preserve"> sur gazon</w:t>
      </w:r>
      <w:r>
        <w:rPr>
          <w:rFonts w:ascii="Arial" w:cs="Calibri" w:hAnsi="Arial" w:eastAsia="Calibri"/>
          <w:sz w:val="24"/>
          <w:szCs w:val="24"/>
          <w:u w:color="000000"/>
          <w:rtl w:val="0"/>
        </w:rPr>
        <w:t xml:space="preserve"> Canada (H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GC</w:t>
      </w:r>
      <w:r>
        <w:rPr>
          <w:rFonts w:ascii="Arial" w:cs="Calibri" w:hAnsi="Arial" w:eastAsia="Calibri"/>
          <w:sz w:val="24"/>
          <w:szCs w:val="24"/>
          <w:u w:color="000000"/>
          <w:rtl w:val="0"/>
        </w:rPr>
        <w:t xml:space="preserve">) 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s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 xml:space="preserve">engage 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assurer que toutes les nominations au sein du personnel d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employ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s et de b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n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voles soient fond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 xml:space="preserve">es sur un examen juste et 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quitable des exigences pour le poste, en tenant compte des qualifications, capacit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s et comp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tences de chacun des candidats et qu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il n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y aura pas de conflit d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int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r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ê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t r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 xml:space="preserve">el, 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ventuel oui apparent durant ce processus</w:t>
      </w:r>
      <w:r>
        <w:rPr>
          <w:rFonts w:ascii="Arial" w:cs="Calibri" w:hAnsi="Arial" w:eastAsia="Calibri"/>
          <w:sz w:val="24"/>
          <w:szCs w:val="24"/>
          <w:u w:color="000000"/>
          <w:rtl w:val="0"/>
        </w:rPr>
        <w:t xml:space="preserve">. </w:t>
      </w:r>
    </w:p>
    <w:p>
      <w:pPr>
        <w:pStyle w:val="Corps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val="single" w:color="000000"/>
          <w:rtl w:val="0"/>
        </w:rPr>
      </w:pPr>
      <w:r>
        <w:rPr>
          <w:rFonts w:ascii="Arial" w:cs="Calibri" w:hAnsi="Arial" w:eastAsia="Calibri"/>
          <w:b w:val="1"/>
          <w:bCs w:val="1"/>
          <w:sz w:val="24"/>
          <w:szCs w:val="24"/>
          <w:u w:val="single" w:color="000000"/>
          <w:rtl w:val="0"/>
          <w:lang w:val="en-US"/>
        </w:rPr>
        <w:t>Application:</w:t>
      </w:r>
    </w:p>
    <w:p>
      <w:pPr>
        <w:pStyle w:val="Corps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Cette politique s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applique au Conseil d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administration, employ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s, participants inscrits et b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n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voles de HGC. Elle vise d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’é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viter les conflits d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int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r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ê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ts, les conflits d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int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r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ê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ts apparents ou une crainte raisonnable de partialit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concernant les d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cisions r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gissant les activit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s de HGC</w:t>
      </w:r>
      <w:r>
        <w:rPr>
          <w:rFonts w:ascii="Arial" w:cs="Calibri" w:hAnsi="Arial" w:eastAsia="Calibri"/>
          <w:sz w:val="24"/>
          <w:szCs w:val="24"/>
          <w:u w:color="000000"/>
          <w:rtl w:val="0"/>
        </w:rPr>
        <w:t xml:space="preserve">. </w:t>
      </w:r>
    </w:p>
    <w:p>
      <w:pPr>
        <w:pStyle w:val="Corps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val="single" w:color="000000"/>
          <w:rtl w:val="0"/>
        </w:rPr>
      </w:pPr>
      <w:r>
        <w:rPr>
          <w:rFonts w:ascii="Arial" w:cs="Calibri" w:hAnsi="Arial" w:eastAsia="Calibri" w:hint="default"/>
          <w:b w:val="1"/>
          <w:bCs w:val="1"/>
          <w:sz w:val="24"/>
          <w:szCs w:val="24"/>
          <w:u w:val="single" w:color="000000"/>
          <w:rtl w:val="0"/>
          <w:lang w:val="fr-FR"/>
        </w:rPr>
        <w:t>É</w:t>
      </w:r>
      <w:r>
        <w:rPr>
          <w:rFonts w:ascii="Arial" w:cs="Calibri" w:hAnsi="Arial" w:eastAsia="Calibri"/>
          <w:b w:val="1"/>
          <w:bCs w:val="1"/>
          <w:sz w:val="24"/>
          <w:szCs w:val="24"/>
          <w:u w:val="single" w:color="000000"/>
          <w:rtl w:val="0"/>
          <w:lang w:val="fr-FR"/>
        </w:rPr>
        <w:t>nonc</w:t>
      </w:r>
      <w:r>
        <w:rPr>
          <w:rFonts w:ascii="Arial" w:cs="Calibri" w:hAnsi="Arial" w:eastAsia="Calibri" w:hint="default"/>
          <w:b w:val="1"/>
          <w:bCs w:val="1"/>
          <w:sz w:val="24"/>
          <w:szCs w:val="24"/>
          <w:u w:val="single" w:color="000000"/>
          <w:rtl w:val="0"/>
          <w:lang w:val="fr-FR"/>
        </w:rPr>
        <w:t xml:space="preserve">é </w:t>
      </w:r>
      <w:r>
        <w:rPr>
          <w:rFonts w:ascii="Arial" w:cs="Calibri" w:hAnsi="Arial" w:eastAsia="Calibri"/>
          <w:b w:val="1"/>
          <w:bCs w:val="1"/>
          <w:sz w:val="24"/>
          <w:szCs w:val="24"/>
          <w:u w:val="single" w:color="000000"/>
          <w:rtl w:val="0"/>
          <w:lang w:val="fr-FR"/>
        </w:rPr>
        <w:t>de politique</w:t>
      </w:r>
      <w:r>
        <w:rPr>
          <w:rFonts w:ascii="Arial" w:cs="Calibri" w:hAnsi="Arial" w:eastAsia="Calibri"/>
          <w:b w:val="1"/>
          <w:bCs w:val="1"/>
          <w:sz w:val="24"/>
          <w:szCs w:val="24"/>
          <w:u w:val="single" w:color="000000"/>
          <w:rtl w:val="0"/>
        </w:rPr>
        <w:t>:</w:t>
      </w:r>
    </w:p>
    <w:p>
      <w:pPr>
        <w:pStyle w:val="Corps"/>
        <w:bidi w:val="0"/>
        <w:spacing w:line="360" w:lineRule="auto"/>
        <w:ind w:left="0" w:right="0" w:firstLine="0"/>
        <w:jc w:val="both"/>
        <w:rPr>
          <w:rFonts w:ascii="Arial" w:cs="Arial" w:hAnsi="Arial" w:eastAsia="Arial"/>
          <w:color w:val="000000"/>
          <w:sz w:val="24"/>
          <w:szCs w:val="24"/>
          <w:u w:color="000000"/>
          <w:rtl w:val="0"/>
        </w:rPr>
      </w:pPr>
      <w:r>
        <w:rPr>
          <w:rFonts w:ascii="Arial" w:cs="Calibri" w:hAnsi="Arial" w:eastAsia="Calibri"/>
          <w:color w:val="000000"/>
          <w:sz w:val="24"/>
          <w:szCs w:val="24"/>
          <w:u w:color="000000"/>
          <w:rtl w:val="0"/>
          <w:lang w:val="fr-FR"/>
        </w:rPr>
        <w:t xml:space="preserve">Cette politique doit </w:t>
      </w:r>
      <w:r>
        <w:rPr>
          <w:rFonts w:ascii="Arial" w:cs="Calibri" w:hAnsi="Arial" w:eastAsia="Calibri" w:hint="default"/>
          <w:color w:val="000000"/>
          <w:sz w:val="24"/>
          <w:szCs w:val="24"/>
          <w:u w:color="000000"/>
          <w:rtl w:val="0"/>
          <w:lang w:val="fr-FR"/>
        </w:rPr>
        <w:t>ê</w:t>
      </w:r>
      <w:r>
        <w:rPr>
          <w:rFonts w:ascii="Arial" w:cs="Calibri" w:hAnsi="Arial" w:eastAsia="Calibri"/>
          <w:color w:val="000000"/>
          <w:sz w:val="24"/>
          <w:szCs w:val="24"/>
          <w:u w:color="000000"/>
          <w:rtl w:val="0"/>
          <w:lang w:val="fr-FR"/>
        </w:rPr>
        <w:t>tre lue et interpr</w:t>
      </w:r>
      <w:r>
        <w:rPr>
          <w:rFonts w:ascii="Arial" w:cs="Calibri" w:hAnsi="Arial" w:eastAsia="Calibri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color w:val="000000"/>
          <w:sz w:val="24"/>
          <w:szCs w:val="24"/>
          <w:u w:color="000000"/>
          <w:rtl w:val="0"/>
          <w:lang w:val="fr-FR"/>
        </w:rPr>
        <w:t>t</w:t>
      </w:r>
      <w:r>
        <w:rPr>
          <w:rFonts w:ascii="Arial" w:cs="Calibri" w:hAnsi="Arial" w:eastAsia="Calibri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color w:val="000000"/>
          <w:sz w:val="24"/>
          <w:szCs w:val="24"/>
          <w:u w:color="000000"/>
          <w:rtl w:val="0"/>
          <w:lang w:val="fr-FR"/>
        </w:rPr>
        <w:t>e en combinaison avec la Politique de HGC sur les conflits d</w:t>
      </w:r>
      <w:r>
        <w:rPr>
          <w:rFonts w:ascii="Arial" w:cs="Calibri" w:hAnsi="Arial" w:eastAsia="Calibri" w:hint="default"/>
          <w:color w:val="000000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cs="Calibri" w:hAnsi="Arial" w:eastAsia="Calibri"/>
          <w:color w:val="000000"/>
          <w:sz w:val="24"/>
          <w:szCs w:val="24"/>
          <w:u w:color="000000"/>
          <w:rtl w:val="0"/>
          <w:lang w:val="fr-FR"/>
        </w:rPr>
        <w:t>int</w:t>
      </w:r>
      <w:r>
        <w:rPr>
          <w:rFonts w:ascii="Arial" w:cs="Calibri" w:hAnsi="Arial" w:eastAsia="Calibri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color w:val="000000"/>
          <w:sz w:val="24"/>
          <w:szCs w:val="24"/>
          <w:u w:color="000000"/>
          <w:rtl w:val="0"/>
          <w:lang w:val="fr-FR"/>
        </w:rPr>
        <w:t>r</w:t>
      </w:r>
      <w:r>
        <w:rPr>
          <w:rFonts w:ascii="Arial" w:cs="Calibri" w:hAnsi="Arial" w:eastAsia="Calibri" w:hint="default"/>
          <w:color w:val="000000"/>
          <w:sz w:val="24"/>
          <w:szCs w:val="24"/>
          <w:u w:color="000000"/>
          <w:rtl w:val="0"/>
          <w:lang w:val="fr-FR"/>
        </w:rPr>
        <w:t>ê</w:t>
      </w:r>
      <w:r>
        <w:rPr>
          <w:rFonts w:ascii="Arial" w:cs="Calibri" w:hAnsi="Arial" w:eastAsia="Calibri"/>
          <w:color w:val="000000"/>
          <w:sz w:val="24"/>
          <w:szCs w:val="24"/>
          <w:u w:color="000000"/>
          <w:rtl w:val="0"/>
          <w:lang w:val="fr-FR"/>
        </w:rPr>
        <w:t>ts</w:t>
      </w:r>
      <w:r>
        <w:rPr>
          <w:rFonts w:ascii="Arial" w:cs="Calibri" w:hAnsi="Arial" w:eastAsia="Calibri"/>
          <w:color w:val="000000"/>
          <w:sz w:val="24"/>
          <w:szCs w:val="24"/>
          <w:u w:color="000000"/>
          <w:rtl w:val="0"/>
        </w:rPr>
        <w:t>.</w:t>
      </w:r>
    </w:p>
    <w:p>
      <w:pPr>
        <w:pStyle w:val="Corps"/>
        <w:bidi w:val="0"/>
        <w:spacing w:line="360" w:lineRule="auto"/>
        <w:ind w:left="0" w:right="0" w:firstLine="0"/>
        <w:jc w:val="both"/>
        <w:rPr>
          <w:rFonts w:ascii="Arial" w:cs="Arial" w:hAnsi="Arial" w:eastAsia="Arial"/>
          <w:color w:val="000000"/>
          <w:sz w:val="24"/>
          <w:szCs w:val="24"/>
          <w:u w:color="000000"/>
          <w:rtl w:val="0"/>
        </w:rPr>
      </w:pPr>
    </w:p>
    <w:p>
      <w:pPr>
        <w:pStyle w:val="Corps"/>
        <w:bidi w:val="0"/>
        <w:spacing w:line="360" w:lineRule="auto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cs="Calibri" w:hAnsi="Arial" w:eastAsia="Calibri" w:hint="default"/>
          <w:color w:val="000000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Arial" w:cs="Calibri" w:hAnsi="Arial" w:eastAsia="Calibri"/>
          <w:color w:val="000000"/>
          <w:sz w:val="24"/>
          <w:szCs w:val="24"/>
          <w:u w:color="000000"/>
          <w:rtl w:val="0"/>
          <w:lang w:val="fr-FR"/>
        </w:rPr>
        <w:t>moins d</w:t>
      </w:r>
      <w:r>
        <w:rPr>
          <w:rFonts w:ascii="Arial" w:cs="Calibri" w:hAnsi="Arial" w:eastAsia="Calibri" w:hint="default"/>
          <w:color w:val="000000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cs="Calibri" w:hAnsi="Arial" w:eastAsia="Calibri"/>
          <w:color w:val="000000"/>
          <w:sz w:val="24"/>
          <w:szCs w:val="24"/>
          <w:u w:color="000000"/>
          <w:rtl w:val="0"/>
          <w:lang w:val="fr-FR"/>
        </w:rPr>
        <w:t>avoir l</w:t>
      </w:r>
      <w:r>
        <w:rPr>
          <w:rFonts w:ascii="Arial" w:cs="Calibri" w:hAnsi="Arial" w:eastAsia="Calibri" w:hint="default"/>
          <w:color w:val="000000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cs="Calibri" w:hAnsi="Arial" w:eastAsia="Calibri"/>
          <w:color w:val="000000"/>
          <w:sz w:val="24"/>
          <w:szCs w:val="24"/>
          <w:u w:color="000000"/>
          <w:rtl w:val="0"/>
          <w:lang w:val="fr-FR"/>
        </w:rPr>
        <w:t xml:space="preserve">approbation par </w:t>
      </w:r>
      <w:r>
        <w:rPr>
          <w:rFonts w:ascii="Arial" w:cs="Calibri" w:hAnsi="Arial" w:eastAsia="Calibri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color w:val="000000"/>
          <w:sz w:val="24"/>
          <w:szCs w:val="24"/>
          <w:u w:color="000000"/>
          <w:rtl w:val="0"/>
          <w:lang w:val="fr-FR"/>
        </w:rPr>
        <w:t>crit du Conseil de HGC ou du Chef de la direction de HGC, apr</w:t>
      </w:r>
      <w:r>
        <w:rPr>
          <w:rFonts w:ascii="Arial" w:cs="Calibri" w:hAnsi="Arial" w:eastAsia="Calibri" w:hint="default"/>
          <w:color w:val="000000"/>
          <w:sz w:val="24"/>
          <w:szCs w:val="24"/>
          <w:u w:color="000000"/>
          <w:rtl w:val="0"/>
          <w:lang w:val="fr-FR"/>
        </w:rPr>
        <w:t>è</w:t>
      </w:r>
      <w:r>
        <w:rPr>
          <w:rFonts w:ascii="Arial" w:cs="Calibri" w:hAnsi="Arial" w:eastAsia="Calibri"/>
          <w:color w:val="000000"/>
          <w:sz w:val="24"/>
          <w:szCs w:val="24"/>
          <w:u w:color="000000"/>
          <w:rtl w:val="0"/>
          <w:lang w:val="fr-FR"/>
        </w:rPr>
        <w:t>s divulgation compl</w:t>
      </w:r>
      <w:r>
        <w:rPr>
          <w:rFonts w:ascii="Arial" w:cs="Calibri" w:hAnsi="Arial" w:eastAsia="Calibri" w:hint="default"/>
          <w:color w:val="000000"/>
          <w:sz w:val="24"/>
          <w:szCs w:val="24"/>
          <w:u w:color="000000"/>
          <w:rtl w:val="0"/>
          <w:lang w:val="fr-FR"/>
        </w:rPr>
        <w:t>è</w:t>
      </w:r>
      <w:r>
        <w:rPr>
          <w:rFonts w:ascii="Arial" w:cs="Calibri" w:hAnsi="Arial" w:eastAsia="Calibri"/>
          <w:color w:val="000000"/>
          <w:sz w:val="24"/>
          <w:szCs w:val="24"/>
          <w:u w:color="000000"/>
          <w:rtl w:val="0"/>
          <w:lang w:val="fr-FR"/>
        </w:rPr>
        <w:t>te de toutes les relations et de tous les liens pertinents et r</w:t>
      </w:r>
      <w:r>
        <w:rPr>
          <w:rFonts w:ascii="Arial" w:cs="Calibri" w:hAnsi="Arial" w:eastAsia="Calibri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color w:val="000000"/>
          <w:sz w:val="24"/>
          <w:szCs w:val="24"/>
          <w:u w:color="000000"/>
          <w:rtl w:val="0"/>
          <w:lang w:val="fr-FR"/>
        </w:rPr>
        <w:t>cusation des parties quand c</w:t>
      </w:r>
      <w:r>
        <w:rPr>
          <w:rFonts w:ascii="Arial" w:cs="Calibri" w:hAnsi="Arial" w:eastAsia="Calibri" w:hint="default"/>
          <w:color w:val="000000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cs="Calibri" w:hAnsi="Arial" w:eastAsia="Calibri"/>
          <w:color w:val="000000"/>
          <w:sz w:val="24"/>
          <w:szCs w:val="24"/>
          <w:u w:color="000000"/>
          <w:rtl w:val="0"/>
          <w:lang w:val="fr-FR"/>
        </w:rPr>
        <w:t>est n</w:t>
      </w:r>
      <w:r>
        <w:rPr>
          <w:rFonts w:ascii="Arial" w:cs="Calibri" w:hAnsi="Arial" w:eastAsia="Calibri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color w:val="000000"/>
          <w:sz w:val="24"/>
          <w:szCs w:val="24"/>
          <w:u w:color="000000"/>
          <w:rtl w:val="0"/>
          <w:lang w:val="fr-FR"/>
        </w:rPr>
        <w:t xml:space="preserve">cessaire, un individu ne sera pas admissible </w:t>
      </w:r>
      <w:r>
        <w:rPr>
          <w:rFonts w:ascii="Arial" w:cs="Calibri" w:hAnsi="Arial" w:eastAsia="Calibri" w:hint="default"/>
          <w:color w:val="000000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Arial" w:cs="Calibri" w:hAnsi="Arial" w:eastAsia="Calibri"/>
          <w:color w:val="000000"/>
          <w:sz w:val="24"/>
          <w:szCs w:val="24"/>
          <w:u w:color="000000"/>
          <w:rtl w:val="0"/>
          <w:lang w:val="fr-FR"/>
        </w:rPr>
        <w:t>l</w:t>
      </w:r>
      <w:r>
        <w:rPr>
          <w:rFonts w:ascii="Arial" w:cs="Calibri" w:hAnsi="Arial" w:eastAsia="Calibri" w:hint="default"/>
          <w:color w:val="000000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cs="Calibri" w:hAnsi="Arial" w:eastAsia="Calibri"/>
          <w:color w:val="000000"/>
          <w:sz w:val="24"/>
          <w:szCs w:val="24"/>
          <w:u w:color="000000"/>
          <w:rtl w:val="0"/>
          <w:lang w:val="fr-FR"/>
        </w:rPr>
        <w:t xml:space="preserve">emploi ou </w:t>
      </w:r>
      <w:r>
        <w:rPr>
          <w:rFonts w:ascii="Arial" w:cs="Calibri" w:hAnsi="Arial" w:eastAsia="Calibri" w:hint="default"/>
          <w:color w:val="000000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Arial" w:cs="Calibri" w:hAnsi="Arial" w:eastAsia="Calibri"/>
          <w:color w:val="000000"/>
          <w:sz w:val="24"/>
          <w:szCs w:val="24"/>
          <w:u w:color="000000"/>
          <w:rtl w:val="0"/>
          <w:lang w:val="fr-FR"/>
        </w:rPr>
        <w:t>la nomination pour un poste dans les circonstances suivantes:</w:t>
      </w:r>
    </w:p>
    <w:p>
      <w:pPr>
        <w:pStyle w:val="Corps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Par défaut"/>
        <w:numPr>
          <w:ilvl w:val="0"/>
          <w:numId w:val="2"/>
        </w:numPr>
        <w:spacing w:line="360" w:lineRule="auto"/>
        <w:jc w:val="both"/>
        <w:rPr>
          <w:rFonts w:ascii="Arial" w:cs="Arial" w:hAnsi="Arial" w:eastAsia="Arial"/>
          <w:sz w:val="24"/>
          <w:szCs w:val="24"/>
          <w:u w:color="000000"/>
          <w:lang w:val="en-US"/>
        </w:rPr>
      </w:pPr>
      <w:r>
        <w:rPr>
          <w:rFonts w:ascii="Arial" w:hAnsi="Arial"/>
          <w:sz w:val="24"/>
          <w:szCs w:val="24"/>
          <w:u w:color="000000"/>
          <w:rtl w:val="0"/>
          <w:lang w:val="fr-FR"/>
        </w:rPr>
        <w:t>Quand il ou elle se trouvera directement/indirectement dans une relation sup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rieur-subordonn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avec un membre de sa famille imm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diate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 xml:space="preserve">.  </w:t>
      </w:r>
    </w:p>
    <w:p>
      <w:pPr>
        <w:pStyle w:val="Par défaut"/>
        <w:numPr>
          <w:ilvl w:val="0"/>
          <w:numId w:val="2"/>
        </w:numPr>
        <w:spacing w:line="360" w:lineRule="auto"/>
        <w:jc w:val="both"/>
        <w:rPr>
          <w:rFonts w:ascii="Arial" w:cs="Arial" w:hAnsi="Arial" w:eastAsia="Arial"/>
          <w:sz w:val="24"/>
          <w:szCs w:val="24"/>
          <w:u w:color="000000"/>
          <w:lang w:val="en-US"/>
        </w:rPr>
      </w:pP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Quand il ou elle pourrait 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ê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tre dans une position pour prendre des d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cisions qui pourraient vraisemblablement avoir un effet sur un membre de sa famille imm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diate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.</w:t>
      </w:r>
    </w:p>
    <w:p>
      <w:pPr>
        <w:pStyle w:val="Par défaut"/>
        <w:numPr>
          <w:ilvl w:val="0"/>
          <w:numId w:val="2"/>
        </w:numPr>
        <w:spacing w:line="360" w:lineRule="auto"/>
        <w:jc w:val="both"/>
        <w:rPr>
          <w:rFonts w:ascii="Arial" w:cs="Arial" w:hAnsi="Arial" w:eastAsia="Arial"/>
          <w:sz w:val="24"/>
          <w:szCs w:val="24"/>
          <w:u w:color="000000"/>
          <w:lang w:val="en-US"/>
        </w:rPr>
      </w:pPr>
      <w:r>
        <w:rPr>
          <w:rFonts w:ascii="Arial" w:hAnsi="Arial"/>
          <w:sz w:val="24"/>
          <w:szCs w:val="24"/>
          <w:u w:color="000000"/>
          <w:rtl w:val="0"/>
          <w:lang w:val="fr-FR"/>
        </w:rPr>
        <w:t>Quand il ou elle a un membre de sa famille imm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diate qui si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è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ge au sein du Conseil ou d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un Comit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de HGC qui a l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autorit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d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examiner ou prendre des d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cisions qui pourraient vraisemblablement avoir un effet sur ce membre de la  famille imm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diate.                     </w:t>
      </w:r>
    </w:p>
    <w:p>
      <w:pPr>
        <w:pStyle w:val="Par défaut"/>
        <w:spacing w:line="360" w:lineRule="auto"/>
        <w:jc w:val="both"/>
        <w:rPr>
          <w:rFonts w:ascii="Arial" w:cs="Arial" w:hAnsi="Arial" w:eastAsia="Arial"/>
          <w:sz w:val="24"/>
          <w:szCs w:val="24"/>
          <w:u w:color="000000"/>
          <w:lang w:val="en-US"/>
        </w:rPr>
      </w:pPr>
    </w:p>
    <w:p>
      <w:pPr>
        <w:pStyle w:val="Corps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val="single" w:color="000000"/>
          <w:rtl w:val="0"/>
        </w:rPr>
      </w:pPr>
      <w:r>
        <w:rPr>
          <w:rFonts w:ascii="Arial" w:cs="Calibri" w:hAnsi="Arial" w:eastAsia="Calibri"/>
          <w:b w:val="1"/>
          <w:bCs w:val="1"/>
          <w:sz w:val="24"/>
          <w:szCs w:val="24"/>
          <w:u w:val="single" w:color="000000"/>
          <w:rtl w:val="0"/>
        </w:rPr>
        <w:t>D</w:t>
      </w:r>
      <w:r>
        <w:rPr>
          <w:rFonts w:ascii="Arial" w:cs="Calibri" w:hAnsi="Arial" w:eastAsia="Calibri" w:hint="default"/>
          <w:b w:val="1"/>
          <w:bCs w:val="1"/>
          <w:sz w:val="24"/>
          <w:szCs w:val="24"/>
          <w:u w:val="single" w:color="000000"/>
          <w:rtl w:val="0"/>
          <w:lang w:val="fr-FR"/>
        </w:rPr>
        <w:t>é</w:t>
      </w:r>
      <w:r>
        <w:rPr>
          <w:rFonts w:ascii="Arial" w:cs="Calibri" w:hAnsi="Arial" w:eastAsia="Calibri"/>
          <w:b w:val="1"/>
          <w:bCs w:val="1"/>
          <w:sz w:val="24"/>
          <w:szCs w:val="24"/>
          <w:u w:val="single" w:color="000000"/>
          <w:rtl w:val="0"/>
          <w:lang w:val="fr-FR"/>
        </w:rPr>
        <w:t>finitions:</w:t>
      </w:r>
    </w:p>
    <w:p>
      <w:pPr>
        <w:pStyle w:val="Corps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 xml:space="preserve">Dans le contexte de cette politique, 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 xml:space="preserve">« 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famille imm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 xml:space="preserve">diate 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 xml:space="preserve">»  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signifie:</w:t>
      </w:r>
    </w:p>
    <w:p>
      <w:pPr>
        <w:pStyle w:val="Corps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Par défaut"/>
        <w:numPr>
          <w:ilvl w:val="0"/>
          <w:numId w:val="4"/>
        </w:numPr>
        <w:spacing w:line="360" w:lineRule="auto"/>
        <w:rPr>
          <w:rFonts w:ascii="Arial" w:cs="Arial" w:hAnsi="Arial" w:eastAsia="Arial"/>
          <w:sz w:val="24"/>
          <w:szCs w:val="24"/>
          <w:u w:color="000000"/>
          <w:lang w:val="en-US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 xml:space="preserve">un(e) </w:t>
      </w:r>
      <w:r>
        <w:rPr>
          <w:rFonts w:ascii="Arial" w:hAnsi="Arial" w:hint="default"/>
          <w:sz w:val="24"/>
          <w:szCs w:val="24"/>
          <w:u w:color="000000"/>
          <w:rtl w:val="0"/>
          <w:lang w:val="en-US"/>
        </w:rPr>
        <w:t>é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poux/</w:t>
      </w:r>
      <w:r>
        <w:rPr>
          <w:rFonts w:ascii="Arial" w:hAnsi="Arial" w:hint="default"/>
          <w:sz w:val="24"/>
          <w:szCs w:val="24"/>
          <w:u w:color="000000"/>
          <w:rtl w:val="0"/>
          <w:lang w:val="en-US"/>
        </w:rPr>
        <w:t>é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 xml:space="preserve">pouse, 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conjoint de fait ou toute personne avec qui l</w:t>
      </w:r>
      <w:r>
        <w:rPr>
          <w:rFonts w:ascii="Arial" w:hAnsi="Arial" w:hint="default"/>
          <w:sz w:val="24"/>
          <w:szCs w:val="24"/>
          <w:u w:color="000000"/>
          <w:rtl w:val="0"/>
          <w:lang w:val="en-US"/>
        </w:rPr>
        <w:t>’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individu vit en tant que conjoint(e) hors mariage</w:t>
      </w:r>
    </w:p>
    <w:p>
      <w:pPr>
        <w:pStyle w:val="Par défaut"/>
        <w:numPr>
          <w:ilvl w:val="0"/>
          <w:numId w:val="4"/>
        </w:numPr>
        <w:spacing w:line="360" w:lineRule="auto"/>
        <w:rPr>
          <w:rFonts w:ascii="Arial" w:cs="Arial" w:hAnsi="Arial" w:eastAsia="Arial"/>
          <w:sz w:val="24"/>
          <w:szCs w:val="24"/>
          <w:u w:color="000000"/>
          <w:lang w:val="en-US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 xml:space="preserve">un 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parent,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 xml:space="preserve"> incluant un beau-parent et un tuteur</w:t>
      </w:r>
    </w:p>
    <w:p>
      <w:pPr>
        <w:pStyle w:val="Par défaut"/>
        <w:numPr>
          <w:ilvl w:val="0"/>
          <w:numId w:val="4"/>
        </w:numPr>
        <w:spacing w:line="360" w:lineRule="auto"/>
        <w:rPr>
          <w:rFonts w:ascii="Arial" w:cs="Arial" w:hAnsi="Arial" w:eastAsia="Arial"/>
          <w:sz w:val="24"/>
          <w:szCs w:val="24"/>
          <w:u w:color="000000"/>
          <w:lang w:val="en-US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un(e) enfant, incluant un(e) beau-fils/belle-fille et un(e) petit-fils/petite-fille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 xml:space="preserve"> </w:t>
      </w:r>
    </w:p>
    <w:p>
      <w:pPr>
        <w:pStyle w:val="Par défaut"/>
        <w:numPr>
          <w:ilvl w:val="0"/>
          <w:numId w:val="4"/>
        </w:numPr>
        <w:spacing w:line="360" w:lineRule="auto"/>
        <w:rPr>
          <w:rFonts w:ascii="Arial" w:cs="Arial" w:hAnsi="Arial" w:eastAsia="Arial"/>
          <w:sz w:val="24"/>
          <w:szCs w:val="24"/>
          <w:u w:color="000000"/>
          <w:lang w:val="en-US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des fr</w:t>
      </w:r>
      <w:r>
        <w:rPr>
          <w:rFonts w:ascii="Arial" w:hAnsi="Arial" w:hint="default"/>
          <w:sz w:val="24"/>
          <w:szCs w:val="24"/>
          <w:u w:color="000000"/>
          <w:rtl w:val="0"/>
          <w:lang w:val="en-US"/>
        </w:rPr>
        <w:t>è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res/soeurs et les enfants de fr</w:t>
      </w:r>
      <w:r>
        <w:rPr>
          <w:rFonts w:ascii="Arial" w:hAnsi="Arial" w:hint="default"/>
          <w:sz w:val="24"/>
          <w:szCs w:val="24"/>
          <w:u w:color="000000"/>
          <w:rtl w:val="0"/>
          <w:lang w:val="en-US"/>
        </w:rPr>
        <w:t>è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res/soeurs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 xml:space="preserve"> </w:t>
      </w:r>
    </w:p>
    <w:p>
      <w:pPr>
        <w:pStyle w:val="Par défaut"/>
        <w:numPr>
          <w:ilvl w:val="0"/>
          <w:numId w:val="4"/>
        </w:numPr>
        <w:spacing w:line="360" w:lineRule="auto"/>
        <w:rPr>
          <w:rFonts w:ascii="Arial" w:cs="Arial" w:hAnsi="Arial" w:eastAsia="Arial"/>
          <w:sz w:val="24"/>
          <w:szCs w:val="24"/>
          <w:u w:color="000000"/>
          <w:lang w:val="en-US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un(e) oncle/tante, neveu/ni</w:t>
      </w:r>
      <w:r>
        <w:rPr>
          <w:rFonts w:ascii="Arial" w:hAnsi="Arial" w:hint="default"/>
          <w:sz w:val="24"/>
          <w:szCs w:val="24"/>
          <w:u w:color="000000"/>
          <w:rtl w:val="0"/>
          <w:lang w:val="en-US"/>
        </w:rPr>
        <w:t>è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ce (parent de sang seulement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 xml:space="preserve">) </w:t>
      </w:r>
    </w:p>
    <w:p>
      <w:pPr>
        <w:pStyle w:val="Par défaut"/>
        <w:numPr>
          <w:ilvl w:val="0"/>
          <w:numId w:val="4"/>
        </w:numPr>
        <w:spacing w:line="360" w:lineRule="auto"/>
        <w:rPr>
          <w:rFonts w:ascii="Arial" w:cs="Arial" w:hAnsi="Arial" w:eastAsia="Arial"/>
          <w:sz w:val="24"/>
          <w:szCs w:val="24"/>
          <w:u w:color="000000"/>
          <w:lang w:val="en-US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des membres de la belle-famille, incluant m</w:t>
      </w:r>
      <w:r>
        <w:rPr>
          <w:rFonts w:ascii="Arial" w:hAnsi="Arial" w:hint="default"/>
          <w:sz w:val="24"/>
          <w:szCs w:val="24"/>
          <w:u w:color="000000"/>
          <w:rtl w:val="0"/>
          <w:lang w:val="en-US"/>
        </w:rPr>
        <w:t>è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re/p</w:t>
      </w:r>
      <w:r>
        <w:rPr>
          <w:rFonts w:ascii="Arial" w:hAnsi="Arial" w:hint="default"/>
          <w:sz w:val="24"/>
          <w:szCs w:val="24"/>
          <w:u w:color="000000"/>
          <w:rtl w:val="0"/>
          <w:lang w:val="en-US"/>
        </w:rPr>
        <w:t>è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re, fr</w:t>
      </w:r>
      <w:r>
        <w:rPr>
          <w:rFonts w:ascii="Arial" w:hAnsi="Arial" w:hint="default"/>
          <w:sz w:val="24"/>
          <w:szCs w:val="24"/>
          <w:u w:color="000000"/>
          <w:rtl w:val="0"/>
          <w:lang w:val="en-US"/>
        </w:rPr>
        <w:t>è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re/soeur, fils/fille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 xml:space="preserve"> </w:t>
      </w:r>
    </w:p>
    <w:p>
      <w:pPr>
        <w:pStyle w:val="Par défaut"/>
        <w:numPr>
          <w:ilvl w:val="0"/>
          <w:numId w:val="4"/>
        </w:numPr>
        <w:spacing w:line="360" w:lineRule="auto"/>
        <w:rPr>
          <w:rFonts w:ascii="Arial" w:cs="Arial" w:hAnsi="Arial" w:eastAsia="Arial"/>
          <w:sz w:val="24"/>
          <w:szCs w:val="24"/>
          <w:u w:color="000000"/>
          <w:lang w:val="en-US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toute personne qui vit avec l</w:t>
      </w:r>
      <w:r>
        <w:rPr>
          <w:rFonts w:ascii="Arial" w:hAnsi="Arial" w:hint="default"/>
          <w:sz w:val="24"/>
          <w:szCs w:val="24"/>
          <w:u w:color="000000"/>
          <w:rtl w:val="0"/>
          <w:lang w:val="en-US"/>
        </w:rPr>
        <w:t>’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individu sur une base permanente</w:t>
      </w:r>
    </w:p>
    <w:p>
      <w:pPr>
        <w:pStyle w:val="Corps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Corps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Corps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val="single" w:color="000000"/>
          <w:rtl w:val="0"/>
        </w:rPr>
      </w:pPr>
      <w:r>
        <w:rPr>
          <w:rFonts w:ascii="Arial" w:cs="Calibri" w:hAnsi="Arial" w:eastAsia="Calibri"/>
          <w:b w:val="1"/>
          <w:bCs w:val="1"/>
          <w:sz w:val="24"/>
          <w:szCs w:val="24"/>
          <w:u w:val="single" w:color="000000"/>
          <w:rtl w:val="0"/>
          <w:lang w:val="pt-PT"/>
        </w:rPr>
        <w:t>Process</w:t>
      </w:r>
      <w:r>
        <w:rPr>
          <w:rFonts w:ascii="Arial" w:cs="Calibri" w:hAnsi="Arial" w:eastAsia="Calibri"/>
          <w:b w:val="1"/>
          <w:bCs w:val="1"/>
          <w:sz w:val="24"/>
          <w:szCs w:val="24"/>
          <w:u w:val="single" w:color="000000"/>
          <w:rtl w:val="0"/>
          <w:lang w:val="fr-FR"/>
        </w:rPr>
        <w:t>us</w:t>
      </w:r>
      <w:r>
        <w:rPr>
          <w:rFonts w:ascii="Arial" w:cs="Calibri" w:hAnsi="Arial" w:eastAsia="Calibri"/>
          <w:b w:val="1"/>
          <w:bCs w:val="1"/>
          <w:sz w:val="24"/>
          <w:szCs w:val="24"/>
          <w:u w:val="single" w:color="000000"/>
          <w:rtl w:val="0"/>
        </w:rPr>
        <w:t xml:space="preserve">: </w:t>
      </w:r>
    </w:p>
    <w:p>
      <w:pPr>
        <w:pStyle w:val="Corps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Cette politique s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 xml:space="preserve">appliquera 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toutes les d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cisions concernant les d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cisions d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embauche et/ou de nomination.</w:t>
      </w:r>
    </w:p>
    <w:p>
      <w:pPr>
        <w:pStyle w:val="Corps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HGC se r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serve le droit de faire l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usage appropri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de son jugement en tant que gestionnaire pour prendre les mesures qui pourraient s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av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rer n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cessaires pour r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aliser l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intention de cette politique. HGC se r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serve aussi le droit de d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roger aux lignes directrices indiqu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es dans cette politique pour tenir compte de circonstances particuli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è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res, au cas par cas. Tous les individus qui sont touch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s par cette politique ont la responsabilit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de r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v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ler au Chef de la direction ou au Pr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sident du Conseil la pr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sence d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une relation personnelle r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 xml:space="preserve">elle ou 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ventuelle qui correspond aux d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finitions indiqu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es dans cette politique. Les employ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s qui omettent de divulguer des relations personnelles qui sont touch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 xml:space="preserve">es par cette politique seront sujets 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des mesures disciplinaires allant jusqu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 xml:space="preserve">’à 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et incluant la cessation d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emploi.</w:t>
      </w:r>
    </w:p>
    <w:p>
      <w:pPr>
        <w:pStyle w:val="Corps"/>
        <w:bidi w:val="0"/>
        <w:spacing w:line="360" w:lineRule="auto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bidi w:val="0"/>
        <w:spacing w:line="36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</w:rPr>
      </w:pPr>
      <w:r>
        <w:rPr>
          <w:rFonts w:ascii="Arial" w:cs="Calibri" w:hAnsi="Arial" w:eastAsia="Calibri"/>
          <w:sz w:val="24"/>
          <w:szCs w:val="24"/>
          <w:u w:color="000000"/>
          <w:rtl w:val="0"/>
        </w:rPr>
        <w:t>A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dopt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</w:rPr>
        <w:t xml:space="preserve">: 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F</w:t>
      </w:r>
      <w:r>
        <w:rPr>
          <w:rFonts w:ascii="Arial" w:cs="Calibri" w:hAnsi="Arial" w:eastAsia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cs="Calibri" w:hAnsi="Arial" w:eastAsia="Calibri"/>
          <w:sz w:val="24"/>
          <w:szCs w:val="24"/>
          <w:u w:color="000000"/>
          <w:rtl w:val="0"/>
          <w:lang w:val="fr-FR"/>
        </w:rPr>
        <w:t>vrier</w:t>
      </w:r>
      <w:r>
        <w:rPr>
          <w:rFonts w:ascii="Arial" w:cs="Calibri" w:hAnsi="Arial" w:eastAsia="Calibri"/>
          <w:sz w:val="24"/>
          <w:szCs w:val="24"/>
          <w:u w:color="000000"/>
          <w:rtl w:val="0"/>
        </w:rPr>
        <w:t xml:space="preserve"> 2020</w:t>
      </w:r>
    </w:p>
    <w:p>
      <w:pPr>
        <w:pStyle w:val="Corps"/>
        <w:bidi w:val="0"/>
        <w:spacing w:line="360" w:lineRule="auto"/>
        <w:ind w:left="0" w:right="0" w:firstLine="0"/>
        <w:jc w:val="left"/>
        <w:rPr>
          <w:rtl w:val="0"/>
        </w:rPr>
      </w:pPr>
      <w:r>
        <w:rPr>
          <w:rFonts w:ascii="Calibri" w:cs="Calibri" w:hAnsi="Calibri" w:eastAsia="Calibri"/>
          <w:u w:color="000000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